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26CA" w14:textId="77777777" w:rsidR="002178AE" w:rsidRPr="002178AE" w:rsidRDefault="002178AE" w:rsidP="002178AE">
      <w:pPr>
        <w:jc w:val="both"/>
        <w:rPr>
          <w:b/>
          <w:bCs/>
        </w:rPr>
      </w:pPr>
      <w:r w:rsidRPr="002178AE">
        <w:rPr>
          <w:b/>
          <w:bCs/>
        </w:rPr>
        <w:t xml:space="preserve">Références sur l’approche </w:t>
      </w:r>
      <w:proofErr w:type="spellStart"/>
      <w:r w:rsidRPr="002178AE">
        <w:rPr>
          <w:b/>
          <w:bCs/>
        </w:rPr>
        <w:t>énactive</w:t>
      </w:r>
      <w:proofErr w:type="spellEnd"/>
    </w:p>
    <w:p w14:paraId="5ED3584C" w14:textId="77777777" w:rsidR="002178AE" w:rsidRDefault="002178AE" w:rsidP="002178AE">
      <w:pPr>
        <w:jc w:val="both"/>
      </w:pPr>
    </w:p>
    <w:p w14:paraId="5A141AED" w14:textId="382AD8FE" w:rsidR="009245FB" w:rsidRDefault="009245FB" w:rsidP="002178AE">
      <w:pPr>
        <w:jc w:val="both"/>
      </w:pPr>
      <w:r w:rsidRPr="009245FB">
        <w:t xml:space="preserve">Varela et </w:t>
      </w:r>
      <w:proofErr w:type="spellStart"/>
      <w:r w:rsidRPr="009245FB">
        <w:t>Maturana</w:t>
      </w:r>
      <w:proofErr w:type="spellEnd"/>
      <w:r w:rsidRPr="009245FB">
        <w:t>, 1973</w:t>
      </w:r>
      <w:r w:rsidRPr="009245FB">
        <w:t xml:space="preserve"> </w:t>
      </w:r>
    </w:p>
    <w:p w14:paraId="04441E1E" w14:textId="207F7C61" w:rsidR="00A12B1F" w:rsidRDefault="009245FB" w:rsidP="002178AE">
      <w:pPr>
        <w:jc w:val="both"/>
      </w:pPr>
      <w:r w:rsidRPr="009245FB">
        <w:t xml:space="preserve">« </w:t>
      </w:r>
      <w:r>
        <w:t>L</w:t>
      </w:r>
      <w:r w:rsidRPr="009245FB">
        <w:t>’homme, non pas comme un agent qui découvre le monde, mais qui le constitue »</w:t>
      </w:r>
    </w:p>
    <w:p w14:paraId="28008A7A" w14:textId="77777777" w:rsidR="009245FB" w:rsidRDefault="009245FB" w:rsidP="002178AE">
      <w:pPr>
        <w:jc w:val="both"/>
      </w:pPr>
    </w:p>
    <w:p w14:paraId="2BAF0D53" w14:textId="77777777" w:rsidR="009245FB" w:rsidRDefault="009245FB" w:rsidP="002178AE">
      <w:pPr>
        <w:jc w:val="both"/>
      </w:pPr>
      <w:r w:rsidRPr="009245FB">
        <w:t>Canguilhem, 1966</w:t>
      </w:r>
      <w:r w:rsidRPr="009245FB">
        <w:t xml:space="preserve"> </w:t>
      </w:r>
    </w:p>
    <w:p w14:paraId="58BCAA91" w14:textId="481A1547" w:rsidR="009245FB" w:rsidRDefault="009245FB" w:rsidP="002178AE">
      <w:pPr>
        <w:jc w:val="both"/>
      </w:pPr>
      <w:r w:rsidRPr="009245FB">
        <w:t>« Le pathologique n’est pas l’absence de norme mais l’existence d’une autre norme que la norme physiologique. »</w:t>
      </w:r>
    </w:p>
    <w:p w14:paraId="538FCD3D" w14:textId="77777777" w:rsidR="009245FB" w:rsidRDefault="009245FB" w:rsidP="002178AE">
      <w:pPr>
        <w:jc w:val="both"/>
      </w:pPr>
    </w:p>
    <w:p w14:paraId="2AB2884C" w14:textId="77777777" w:rsidR="009245FB" w:rsidRDefault="009245FB" w:rsidP="002178AE">
      <w:pPr>
        <w:jc w:val="both"/>
      </w:pPr>
      <w:proofErr w:type="spellStart"/>
      <w:r>
        <w:t>Bourgine</w:t>
      </w:r>
      <w:proofErr w:type="spellEnd"/>
      <w:r>
        <w:t xml:space="preserve"> &amp; Varela, 1993</w:t>
      </w:r>
    </w:p>
    <w:p w14:paraId="7346E005" w14:textId="3B0E3275" w:rsidR="009245FB" w:rsidRDefault="009245FB" w:rsidP="002178AE">
      <w:pPr>
        <w:jc w:val="both"/>
      </w:pPr>
      <w:r>
        <w:t>Tout acteur a une « capacité fondamentale à être, à affirmer son existence et à faire émerger un monde qui est signifiant et pertinent tout en n’étant pas prédéfini à l’avance</w:t>
      </w:r>
      <w:r>
        <w:t> »</w:t>
      </w:r>
    </w:p>
    <w:p w14:paraId="70BC98A0" w14:textId="1E23A4A0" w:rsidR="009245FB" w:rsidRDefault="009245FB" w:rsidP="002178AE">
      <w:pPr>
        <w:jc w:val="both"/>
      </w:pPr>
    </w:p>
    <w:p w14:paraId="664465BC" w14:textId="77777777" w:rsidR="009245FB" w:rsidRDefault="009245FB" w:rsidP="002178AE">
      <w:pPr>
        <w:jc w:val="both"/>
      </w:pPr>
      <w:r w:rsidRPr="009245FB">
        <w:t>Varela, 1989</w:t>
      </w:r>
    </w:p>
    <w:p w14:paraId="43BDCE5F" w14:textId="5B0EEA6E" w:rsidR="009245FB" w:rsidRDefault="009245FB" w:rsidP="002178AE">
      <w:pPr>
        <w:jc w:val="both"/>
      </w:pPr>
      <w:r w:rsidRPr="009245FB">
        <w:t>L’être humain a une capacité à auto-influencer les interactions dans lesquels il est engagé.</w:t>
      </w:r>
    </w:p>
    <w:p w14:paraId="54DB97D2" w14:textId="77777777" w:rsidR="009245FB" w:rsidRDefault="009245FB" w:rsidP="002178AE">
      <w:pPr>
        <w:jc w:val="both"/>
      </w:pPr>
    </w:p>
    <w:p w14:paraId="5E5038DB" w14:textId="77777777" w:rsidR="008775DD" w:rsidRDefault="008775DD" w:rsidP="002178AE">
      <w:pPr>
        <w:jc w:val="both"/>
      </w:pPr>
      <w:proofErr w:type="spellStart"/>
      <w:r>
        <w:t>Maturana</w:t>
      </w:r>
      <w:proofErr w:type="spellEnd"/>
      <w:r>
        <w:t xml:space="preserve"> et Varela, 1994 </w:t>
      </w:r>
    </w:p>
    <w:p w14:paraId="430EDDB5" w14:textId="17A6351C" w:rsidR="008775DD" w:rsidRDefault="008775DD" w:rsidP="002178AE">
      <w:pPr>
        <w:jc w:val="both"/>
      </w:pPr>
      <w:r>
        <w:t>« Il nous est impossible de séparer l’histoire de nos actions – biologiques et sociales – de la façon dont le monde nous apparaît. »</w:t>
      </w:r>
    </w:p>
    <w:p w14:paraId="3D781405" w14:textId="77777777" w:rsidR="008775DD" w:rsidRDefault="008775DD" w:rsidP="002178AE">
      <w:pPr>
        <w:jc w:val="both"/>
      </w:pPr>
    </w:p>
    <w:p w14:paraId="077E4217" w14:textId="77777777" w:rsidR="008775DD" w:rsidRDefault="008775DD" w:rsidP="002178AE">
      <w:pPr>
        <w:jc w:val="both"/>
      </w:pPr>
      <w:r w:rsidRPr="008775DD">
        <w:t xml:space="preserve">Varela, Thompson, &amp; </w:t>
      </w:r>
      <w:proofErr w:type="spellStart"/>
      <w:r w:rsidRPr="008775DD">
        <w:t>Rosch</w:t>
      </w:r>
      <w:proofErr w:type="spellEnd"/>
      <w:r w:rsidRPr="008775DD">
        <w:t>, 1993</w:t>
      </w:r>
    </w:p>
    <w:p w14:paraId="4FFBF6A4" w14:textId="09DAA01C" w:rsidR="008775DD" w:rsidRDefault="008775DD" w:rsidP="002178AE">
      <w:pPr>
        <w:jc w:val="both"/>
      </w:pPr>
      <w:r>
        <w:t>« </w:t>
      </w:r>
      <w:r w:rsidRPr="008775DD">
        <w:t>Non seulement l’être humain a besoin de ses capacités motrices, sensorielles et émotionnelles pour construire des connaissances, mais le contenu de ses connaissances constitue une synthèse de ce qu’il a perçu et de tout ce qu’il a fait et ressenti pour percevoir.</w:t>
      </w:r>
      <w:r>
        <w:t> »</w:t>
      </w:r>
    </w:p>
    <w:p w14:paraId="79D762E7" w14:textId="77777777" w:rsidR="008775DD" w:rsidRDefault="008775DD" w:rsidP="002178AE">
      <w:pPr>
        <w:jc w:val="both"/>
      </w:pPr>
    </w:p>
    <w:p w14:paraId="4DA89576" w14:textId="77777777" w:rsidR="008775DD" w:rsidRDefault="008775DD" w:rsidP="002178AE">
      <w:pPr>
        <w:jc w:val="both"/>
      </w:pPr>
      <w:r>
        <w:t>Damasio, 2010</w:t>
      </w:r>
    </w:p>
    <w:p w14:paraId="1058A7C7" w14:textId="0AA09609" w:rsidR="008775DD" w:rsidRDefault="008775DD" w:rsidP="002178AE">
      <w:pPr>
        <w:jc w:val="both"/>
      </w:pPr>
      <w:r>
        <w:t>Dans le cerveau, plusieurs images se juxtaposent au cours de l’action : sur ce qui est vu, sur le corps en train de voir, sur les actions réalisées pour voir, sur les réactions émotionnelles liées à ces perceptions, sur la situation géographique par rapport aux autres, etc.</w:t>
      </w:r>
    </w:p>
    <w:p w14:paraId="5487BA34" w14:textId="29F8BB66" w:rsidR="008775DD" w:rsidRDefault="008775DD" w:rsidP="002178AE">
      <w:pPr>
        <w:jc w:val="both"/>
      </w:pPr>
      <w:r>
        <w:t>Les connaissances (en tant qu’expériences-types) sont des assemblages d’images</w:t>
      </w:r>
      <w:r>
        <w:t>.</w:t>
      </w:r>
    </w:p>
    <w:p w14:paraId="07D412A3" w14:textId="77777777" w:rsidR="008775DD" w:rsidRDefault="008775DD" w:rsidP="002178AE">
      <w:pPr>
        <w:jc w:val="both"/>
      </w:pPr>
    </w:p>
    <w:p w14:paraId="2DAD1156" w14:textId="77777777" w:rsidR="008775DD" w:rsidRDefault="008775DD" w:rsidP="002178AE">
      <w:pPr>
        <w:jc w:val="both"/>
      </w:pPr>
      <w:r w:rsidRPr="008775DD">
        <w:t>Durand, 2014</w:t>
      </w:r>
    </w:p>
    <w:p w14:paraId="3BD61AFC" w14:textId="1285AF91" w:rsidR="008775DD" w:rsidRDefault="008775DD" w:rsidP="002178AE">
      <w:pPr>
        <w:jc w:val="both"/>
      </w:pPr>
      <w:r w:rsidRPr="008775DD">
        <w:t>Certaines expériences prennent une fonction de prototype pour signifier et configurer les situations futures et générer des actions.</w:t>
      </w:r>
    </w:p>
    <w:p w14:paraId="3636F2EA" w14:textId="77777777" w:rsidR="008775DD" w:rsidRDefault="008775DD" w:rsidP="002178AE">
      <w:pPr>
        <w:jc w:val="both"/>
      </w:pPr>
    </w:p>
    <w:p w14:paraId="5EBFB97F" w14:textId="77777777" w:rsidR="008775DD" w:rsidRDefault="008775DD" w:rsidP="002178AE">
      <w:pPr>
        <w:jc w:val="both"/>
      </w:pPr>
      <w:proofErr w:type="spellStart"/>
      <w:r w:rsidRPr="008775DD">
        <w:t>Saury</w:t>
      </w:r>
      <w:proofErr w:type="spellEnd"/>
      <w:r w:rsidRPr="008775DD">
        <w:t xml:space="preserve"> et al., 2013</w:t>
      </w:r>
    </w:p>
    <w:p w14:paraId="170697E2" w14:textId="77DFC61A" w:rsidR="008775DD" w:rsidRDefault="008775DD" w:rsidP="002178AE">
      <w:pPr>
        <w:jc w:val="both"/>
      </w:pPr>
      <w:r w:rsidRPr="008775DD">
        <w:t>Bien souvent, les enseignants cherchent à établir des liens entre diverses tâches ou leçon en faisant appel à un registre discursif, sollicitant chez les élèves un raisonnement formel, souvent déconnecté des expériences vécues.</w:t>
      </w:r>
    </w:p>
    <w:p w14:paraId="60F8F5A1" w14:textId="77777777" w:rsidR="008775DD" w:rsidRDefault="008775DD" w:rsidP="002178AE">
      <w:pPr>
        <w:jc w:val="both"/>
      </w:pPr>
    </w:p>
    <w:p w14:paraId="5B379AAC" w14:textId="77777777" w:rsidR="008775DD" w:rsidRDefault="008775DD" w:rsidP="002178AE">
      <w:pPr>
        <w:jc w:val="both"/>
      </w:pPr>
      <w:r w:rsidRPr="008775DD">
        <w:t>Terré, 2015</w:t>
      </w:r>
    </w:p>
    <w:p w14:paraId="2A8EEC5F" w14:textId="14FD79D5" w:rsidR="008775DD" w:rsidRDefault="008775DD" w:rsidP="002178AE">
      <w:pPr>
        <w:jc w:val="both"/>
      </w:pPr>
      <w:r w:rsidRPr="008775DD">
        <w:t>Paradoxalement, les premières leçons sont celles où les élèves apprennent le plus (en jugeant des expériences comme exemplaires) et celles où l’enseignant enseigne le moins (en observant ce que les élèves savent faire).</w:t>
      </w:r>
    </w:p>
    <w:p w14:paraId="26F4BDA8" w14:textId="77777777" w:rsidR="008775DD" w:rsidRDefault="008775DD" w:rsidP="002178AE">
      <w:pPr>
        <w:jc w:val="both"/>
      </w:pPr>
      <w:r w:rsidRPr="008775DD">
        <w:lastRenderedPageBreak/>
        <w:t>Durand, 2001</w:t>
      </w:r>
      <w:r w:rsidRPr="008775DD">
        <w:t xml:space="preserve"> </w:t>
      </w:r>
    </w:p>
    <w:p w14:paraId="413DB012" w14:textId="6F1F8315" w:rsidR="008775DD" w:rsidRDefault="008775DD" w:rsidP="002178AE">
      <w:pPr>
        <w:jc w:val="both"/>
      </w:pPr>
      <w:r w:rsidRPr="008775DD">
        <w:t>« L’action est toujours inscrite dans une histoire. Mieux, elle est une construction d’histoires dont les épisodes peuvent avoir une signification locale et confinée dans le temps, mais dont la signification échappe à celui qui ne tient pas compte de l’intégralité de son décours. »</w:t>
      </w:r>
    </w:p>
    <w:p w14:paraId="45C69588" w14:textId="77777777" w:rsidR="008775DD" w:rsidRDefault="008775DD" w:rsidP="002178AE">
      <w:pPr>
        <w:jc w:val="both"/>
      </w:pPr>
    </w:p>
    <w:p w14:paraId="6486F418" w14:textId="77777777" w:rsidR="008775DD" w:rsidRDefault="008775DD" w:rsidP="002178AE">
      <w:pPr>
        <w:jc w:val="both"/>
      </w:pPr>
      <w:r w:rsidRPr="008775DD">
        <w:t xml:space="preserve">Durand, Poizat, &amp; </w:t>
      </w:r>
      <w:proofErr w:type="spellStart"/>
      <w:r w:rsidRPr="008775DD">
        <w:t>Goudeaux</w:t>
      </w:r>
      <w:proofErr w:type="spellEnd"/>
      <w:r w:rsidRPr="008775DD">
        <w:t>, 2015</w:t>
      </w:r>
    </w:p>
    <w:p w14:paraId="64579DE8" w14:textId="42D0EFA9" w:rsidR="008775DD" w:rsidRDefault="008775DD" w:rsidP="002178AE">
      <w:pPr>
        <w:jc w:val="both"/>
      </w:pPr>
      <w:r w:rsidRPr="008775DD">
        <w:t>Apprendre repose sur un processus d’appropriation = « une sensibilité à des éléments de l’environnement qui étaient non distingués et non pertinents au départ et deviennent différenciés et significatifs dans sa propre situation »</w:t>
      </w:r>
    </w:p>
    <w:p w14:paraId="7F3505B1" w14:textId="77777777" w:rsidR="008775DD" w:rsidRDefault="008775DD" w:rsidP="002178AE">
      <w:pPr>
        <w:jc w:val="both"/>
      </w:pPr>
    </w:p>
    <w:p w14:paraId="175B59E8" w14:textId="0EA1251F" w:rsidR="008775DD" w:rsidRDefault="008775DD" w:rsidP="002178AE">
      <w:pPr>
        <w:jc w:val="both"/>
      </w:pPr>
      <w:r>
        <w:t>Durand, 2009</w:t>
      </w:r>
    </w:p>
    <w:p w14:paraId="54B03FA3" w14:textId="77777777" w:rsidR="008775DD" w:rsidRDefault="008775DD" w:rsidP="002178AE">
      <w:pPr>
        <w:jc w:val="both"/>
      </w:pPr>
      <w:r>
        <w:t>Prendre une activité cible pour référence :</w:t>
      </w:r>
    </w:p>
    <w:p w14:paraId="08863EBD" w14:textId="12EFA74E" w:rsidR="008775DD" w:rsidRDefault="008775DD" w:rsidP="002178AE">
      <w:pPr>
        <w:jc w:val="both"/>
      </w:pPr>
      <w:r>
        <w:t xml:space="preserve"> </w:t>
      </w:r>
      <w:r>
        <w:t>« Il ne peut y avoir de formation sans normes (…), et le détour par l’analyse de l’activité des professionnels implique une « renormalisation » de l’activité (Schwartz, 1998).</w:t>
      </w:r>
    </w:p>
    <w:p w14:paraId="1415210F" w14:textId="768E1A79" w:rsidR="008775DD" w:rsidRDefault="008775DD" w:rsidP="002178AE">
      <w:pPr>
        <w:jc w:val="both"/>
      </w:pPr>
      <w:r>
        <w:t xml:space="preserve"> </w:t>
      </w:r>
      <w:r>
        <w:t>« Les difficultés rencontrées par les débutants renseignent de manière complémentaire sur la nature du travail cible en permettant d’identifier des composantes critiques du travail, masquées parce que celles-ci sont automatisées et maîtrisées par les expérimentés. »</w:t>
      </w:r>
    </w:p>
    <w:p w14:paraId="7D77AEC7" w14:textId="77777777" w:rsidR="008775DD" w:rsidRDefault="008775DD" w:rsidP="002178AE">
      <w:pPr>
        <w:jc w:val="both"/>
      </w:pPr>
    </w:p>
    <w:p w14:paraId="0A3C1CFF" w14:textId="77777777" w:rsidR="008775DD" w:rsidRDefault="008775DD" w:rsidP="002178AE">
      <w:pPr>
        <w:jc w:val="both"/>
      </w:pPr>
      <w:proofErr w:type="spellStart"/>
      <w:r>
        <w:t>Donzé</w:t>
      </w:r>
      <w:proofErr w:type="spellEnd"/>
      <w:r>
        <w:t>, 2025</w:t>
      </w:r>
    </w:p>
    <w:p w14:paraId="3F310BD9" w14:textId="77777777" w:rsidR="008775DD" w:rsidRDefault="008775DD" w:rsidP="002178AE">
      <w:pPr>
        <w:jc w:val="both"/>
      </w:pPr>
      <w:r>
        <w:t>En escalade, quand c'est possible il faut bien choisir le site, les voies.</w:t>
      </w:r>
    </w:p>
    <w:p w14:paraId="57A059EC" w14:textId="77777777" w:rsidR="008775DD" w:rsidRDefault="008775DD" w:rsidP="002178AE">
      <w:pPr>
        <w:jc w:val="both"/>
      </w:pPr>
      <w:r>
        <w:t xml:space="preserve">Il faut absolument connaître le contenu de la voie, ce qu'elle va demander, un geste d'amplitude, une adhérence un peu fine, un regroupement nécessitant une souplesse délicate, un petit moment de déséquilibre un peu limite et une arrivée sur la prise aux limites... </w:t>
      </w:r>
    </w:p>
    <w:p w14:paraId="3DA6A79F" w14:textId="77777777" w:rsidR="008775DD" w:rsidRDefault="008775DD" w:rsidP="002178AE">
      <w:pPr>
        <w:jc w:val="both"/>
      </w:pPr>
      <w:r>
        <w:t>Donc à un moment donné, il faut avoir le contenu comme celui d'un menu dans chaque voie qui procure tel effet sur le corps et telle émotion de le réussir. Reconnaître le lieu comme dépositaire du contenu d'enseignement, c'est le graal de la transmission dans cette activité.</w:t>
      </w:r>
    </w:p>
    <w:p w14:paraId="3D796663" w14:textId="77777777" w:rsidR="008775DD" w:rsidRDefault="008775DD" w:rsidP="002178AE">
      <w:pPr>
        <w:jc w:val="both"/>
      </w:pPr>
      <w:r>
        <w:t>Il faut donc connaître les passages, il faut avoir une connaissance des supports, de la matière, des touchers, et aussi faire vivre l'aboutissement, réel ou symbolique, de l'arrivée à un sommet.</w:t>
      </w:r>
    </w:p>
    <w:p w14:paraId="01B88ACF" w14:textId="7559C5D1" w:rsidR="008775DD" w:rsidRDefault="008775DD" w:rsidP="002178AE">
      <w:pPr>
        <w:jc w:val="both"/>
      </w:pPr>
      <w:r>
        <w:t>En termes de posture d'enseignant il faut selon moi délivrer avec parcimonie des guidages stricts (prise à prise), toute sorte d'intervention orale en continu est fatigante à la longue. Il faut laisser la personne libre avec son aventure, de ses décisions, et venir à son secours, pédagogiquement parlant, juste au bon endroit et au bon moment.</w:t>
      </w:r>
    </w:p>
    <w:p w14:paraId="748BEBFD" w14:textId="77777777" w:rsidR="008775DD" w:rsidRDefault="008775DD" w:rsidP="002178AE">
      <w:pPr>
        <w:jc w:val="both"/>
      </w:pPr>
    </w:p>
    <w:p w14:paraId="18B3457D" w14:textId="77777777" w:rsidR="008775DD" w:rsidRDefault="008775DD" w:rsidP="002178AE">
      <w:pPr>
        <w:jc w:val="both"/>
      </w:pPr>
      <w:r w:rsidRPr="008775DD">
        <w:t>Durand et al., 2015</w:t>
      </w:r>
    </w:p>
    <w:p w14:paraId="2E369441" w14:textId="02F55465" w:rsidR="008775DD" w:rsidRDefault="008775DD" w:rsidP="002178AE">
      <w:pPr>
        <w:jc w:val="both"/>
      </w:pPr>
      <w:r w:rsidRPr="008775DD">
        <w:t>Spécifier des impossibles pour tenter de mieux encourager certains possibles</w:t>
      </w:r>
    </w:p>
    <w:p w14:paraId="5D6304D0" w14:textId="77777777" w:rsidR="008775DD" w:rsidRDefault="008775DD" w:rsidP="002178AE">
      <w:pPr>
        <w:jc w:val="both"/>
      </w:pPr>
    </w:p>
    <w:p w14:paraId="6FF10364" w14:textId="6C562F10" w:rsidR="008775DD" w:rsidRDefault="008775DD" w:rsidP="002178AE">
      <w:pPr>
        <w:jc w:val="both"/>
      </w:pPr>
      <w:r>
        <w:t>Durand, 2009</w:t>
      </w:r>
    </w:p>
    <w:p w14:paraId="76F424FB" w14:textId="1C336B87" w:rsidR="008775DD" w:rsidRDefault="008775DD" w:rsidP="002178AE">
      <w:pPr>
        <w:jc w:val="both"/>
      </w:pPr>
      <w:r w:rsidRPr="008775DD">
        <w:t>Le formateur, même s’il croit prescrire une action précise avec sa consigne elle-même précise, procède en modifiant l’environnement de manière à interdire aux formés de faire tout ce qui n’est pas compatible avec la prescription.</w:t>
      </w:r>
    </w:p>
    <w:p w14:paraId="4D3B85C6" w14:textId="77777777" w:rsidR="008775DD" w:rsidRDefault="008775DD" w:rsidP="002178AE">
      <w:pPr>
        <w:jc w:val="both"/>
      </w:pPr>
    </w:p>
    <w:p w14:paraId="345B5BF3" w14:textId="77777777" w:rsidR="002178AE" w:rsidRDefault="002178AE" w:rsidP="002178AE">
      <w:pPr>
        <w:jc w:val="both"/>
      </w:pPr>
    </w:p>
    <w:p w14:paraId="019DD8D5" w14:textId="77777777" w:rsidR="008775DD" w:rsidRDefault="008775DD" w:rsidP="002178AE">
      <w:pPr>
        <w:jc w:val="both"/>
      </w:pPr>
      <w:r w:rsidRPr="008775DD">
        <w:lastRenderedPageBreak/>
        <w:t xml:space="preserve">Poizat &amp; </w:t>
      </w:r>
      <w:proofErr w:type="spellStart"/>
      <w:r w:rsidRPr="008775DD">
        <w:t>Goudeaux</w:t>
      </w:r>
      <w:proofErr w:type="spellEnd"/>
      <w:r w:rsidRPr="008775DD">
        <w:t>, 2014</w:t>
      </w:r>
      <w:r w:rsidRPr="008775DD">
        <w:t xml:space="preserve"> </w:t>
      </w:r>
    </w:p>
    <w:p w14:paraId="1BDC377F" w14:textId="65FEF8DB" w:rsidR="008775DD" w:rsidRDefault="008775DD" w:rsidP="002178AE">
      <w:pPr>
        <w:jc w:val="both"/>
      </w:pPr>
      <w:r w:rsidRPr="008775DD">
        <w:t xml:space="preserve">« Aussi, nous faisons l’hypothèse que pour transformer l’activité, il est plus intéressant et fécond de s’appuyer sur une démarche </w:t>
      </w:r>
      <w:proofErr w:type="spellStart"/>
      <w:r w:rsidRPr="008775DD">
        <w:t>proscriptive</w:t>
      </w:r>
      <w:proofErr w:type="spellEnd"/>
      <w:r w:rsidRPr="008775DD">
        <w:t xml:space="preserve"> explicite plutôt que de tenter de prescrire des transformations en laissant </w:t>
      </w:r>
      <w:proofErr w:type="gramStart"/>
      <w:r w:rsidRPr="008775DD">
        <w:t>au final</w:t>
      </w:r>
      <w:proofErr w:type="gramEnd"/>
      <w:r w:rsidRPr="008775DD">
        <w:t xml:space="preserve"> l’activité se déployer sur des proscriptions "non pensées". »</w:t>
      </w:r>
    </w:p>
    <w:p w14:paraId="00FFB91A" w14:textId="77777777" w:rsidR="002178AE" w:rsidRDefault="002178AE" w:rsidP="002178AE">
      <w:pPr>
        <w:jc w:val="both"/>
      </w:pPr>
    </w:p>
    <w:p w14:paraId="03F65376" w14:textId="50D96DD9" w:rsidR="002178AE" w:rsidRDefault="002178AE" w:rsidP="002178AE">
      <w:pPr>
        <w:jc w:val="both"/>
      </w:pPr>
      <w:r>
        <w:t>Durand, 2009</w:t>
      </w:r>
    </w:p>
    <w:p w14:paraId="0C99B292" w14:textId="57650CB5" w:rsidR="002178AE" w:rsidRDefault="002178AE" w:rsidP="002178AE">
      <w:pPr>
        <w:jc w:val="both"/>
      </w:pPr>
      <w:r w:rsidRPr="002178AE">
        <w:t>La formation est nécessairement interactive au sens où elle implique la construction d’un domaine cognitif consensuel (</w:t>
      </w:r>
      <w:proofErr w:type="spellStart"/>
      <w:r w:rsidRPr="002178AE">
        <w:t>Maturana</w:t>
      </w:r>
      <w:proofErr w:type="spellEnd"/>
      <w:r w:rsidRPr="002178AE">
        <w:t xml:space="preserve"> et Varela, 1994), c’est-à-dire une dérive convergente des points de vue du formateur et de ceux des formés, créant des opportunités d’articulations authentiques et non ambiguës de leurs couplages (</w:t>
      </w:r>
      <w:proofErr w:type="spellStart"/>
      <w:r w:rsidRPr="002178AE">
        <w:t>Fristalon</w:t>
      </w:r>
      <w:proofErr w:type="spellEnd"/>
      <w:r w:rsidRPr="002178AE">
        <w:t xml:space="preserve"> et Durand, 2008). Ce domaine consensuel, jamais </w:t>
      </w:r>
      <w:proofErr w:type="spellStart"/>
      <w:r w:rsidRPr="002178AE">
        <w:t>prédonné</w:t>
      </w:r>
      <w:proofErr w:type="spellEnd"/>
      <w:r w:rsidRPr="002178AE">
        <w:t xml:space="preserve">, jamais totalement dénué d’ambiguïté, est rendu plus probable si le formateur et les formés partagent une culture commune et s’ils </w:t>
      </w:r>
      <w:proofErr w:type="spellStart"/>
      <w:r w:rsidRPr="002178AE">
        <w:t>co-construisent</w:t>
      </w:r>
      <w:proofErr w:type="spellEnd"/>
      <w:r w:rsidRPr="002178AE">
        <w:t xml:space="preserve"> des significations en situation, notamment en rendant manifestes leurs expériences respectives.</w:t>
      </w:r>
    </w:p>
    <w:p w14:paraId="162FFE9B" w14:textId="77777777" w:rsidR="002178AE" w:rsidRDefault="002178AE" w:rsidP="002178AE">
      <w:pPr>
        <w:jc w:val="both"/>
      </w:pPr>
    </w:p>
    <w:p w14:paraId="2A74C25B" w14:textId="677A0CB8" w:rsidR="002178AE" w:rsidRDefault="002178AE" w:rsidP="002178AE">
      <w:pPr>
        <w:jc w:val="both"/>
      </w:pPr>
      <w:r w:rsidRPr="002178AE">
        <w:t>« La transformation dans le temps des systèmes vivants se fait selon une trajectoire évolutive qui n’est ni rectiligne et prévisible, ni erratique et aléatoire : il s’agit d’une dérive chaotique au sens où, bien qu’elle soit déterministe, le caractère multidimensionnel de ses déterminants et leur degré élevé d’interactions en rendent impossible la prédiction et l’explication en termes causalistes. La formation est donc entendue comme l’accompagnement de ces dérives et non la réduction linéaire d’un écart entre un état actuel de l’acteur et un état futur anticipé et conceptualisé comme un objectif. »</w:t>
      </w:r>
    </w:p>
    <w:p w14:paraId="008F4800" w14:textId="77777777" w:rsidR="008775DD" w:rsidRDefault="008775DD" w:rsidP="008775DD"/>
    <w:sectPr w:rsidR="008775DD" w:rsidSect="00C44CDE">
      <w:foot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E697" w14:textId="77777777" w:rsidR="002E1FB9" w:rsidRDefault="002E1FB9" w:rsidP="002178AE">
      <w:r>
        <w:separator/>
      </w:r>
    </w:p>
  </w:endnote>
  <w:endnote w:type="continuationSeparator" w:id="0">
    <w:p w14:paraId="6A438CC9" w14:textId="77777777" w:rsidR="002E1FB9" w:rsidRDefault="002E1FB9" w:rsidP="0021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5A6" w14:textId="5AA62406" w:rsidR="002178AE" w:rsidRDefault="002178AE">
    <w:pPr>
      <w:pStyle w:val="Pieddepage"/>
    </w:pPr>
    <w:r>
      <w:t>NT – 16 décembre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4B8C" w14:textId="77777777" w:rsidR="002E1FB9" w:rsidRDefault="002E1FB9" w:rsidP="002178AE">
      <w:r>
        <w:separator/>
      </w:r>
    </w:p>
  </w:footnote>
  <w:footnote w:type="continuationSeparator" w:id="0">
    <w:p w14:paraId="563FA89C" w14:textId="77777777" w:rsidR="002E1FB9" w:rsidRDefault="002E1FB9" w:rsidP="00217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FB"/>
    <w:rsid w:val="00063DD9"/>
    <w:rsid w:val="00104465"/>
    <w:rsid w:val="002178AE"/>
    <w:rsid w:val="00287061"/>
    <w:rsid w:val="002A219F"/>
    <w:rsid w:val="002C3F91"/>
    <w:rsid w:val="002E1FB9"/>
    <w:rsid w:val="003B4F22"/>
    <w:rsid w:val="005236D6"/>
    <w:rsid w:val="0055600D"/>
    <w:rsid w:val="007975A3"/>
    <w:rsid w:val="008775DD"/>
    <w:rsid w:val="009245FB"/>
    <w:rsid w:val="00937AD9"/>
    <w:rsid w:val="00A12B1F"/>
    <w:rsid w:val="00A95D8F"/>
    <w:rsid w:val="00BD39ED"/>
    <w:rsid w:val="00C44CDE"/>
    <w:rsid w:val="00D21075"/>
    <w:rsid w:val="00DA39E8"/>
    <w:rsid w:val="00F613C1"/>
    <w:rsid w:val="00FB6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228220C"/>
  <w15:chartTrackingRefBased/>
  <w15:docId w15:val="{4B9BDF3D-38EB-6D49-9182-47C7DB8D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4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4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45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45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45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45F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45F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45F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45F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45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45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45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45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45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45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45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45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45FB"/>
    <w:rPr>
      <w:rFonts w:eastAsiaTheme="majorEastAsia" w:cstheme="majorBidi"/>
      <w:color w:val="272727" w:themeColor="text1" w:themeTint="D8"/>
    </w:rPr>
  </w:style>
  <w:style w:type="paragraph" w:styleId="Titre">
    <w:name w:val="Title"/>
    <w:basedOn w:val="Normal"/>
    <w:next w:val="Normal"/>
    <w:link w:val="TitreCar"/>
    <w:uiPriority w:val="10"/>
    <w:qFormat/>
    <w:rsid w:val="009245F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45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45F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45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45F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245FB"/>
    <w:rPr>
      <w:i/>
      <w:iCs/>
      <w:color w:val="404040" w:themeColor="text1" w:themeTint="BF"/>
    </w:rPr>
  </w:style>
  <w:style w:type="paragraph" w:styleId="Paragraphedeliste">
    <w:name w:val="List Paragraph"/>
    <w:basedOn w:val="Normal"/>
    <w:uiPriority w:val="34"/>
    <w:qFormat/>
    <w:rsid w:val="009245FB"/>
    <w:pPr>
      <w:ind w:left="720"/>
      <w:contextualSpacing/>
    </w:pPr>
  </w:style>
  <w:style w:type="character" w:styleId="Accentuationintense">
    <w:name w:val="Intense Emphasis"/>
    <w:basedOn w:val="Policepardfaut"/>
    <w:uiPriority w:val="21"/>
    <w:qFormat/>
    <w:rsid w:val="009245FB"/>
    <w:rPr>
      <w:i/>
      <w:iCs/>
      <w:color w:val="0F4761" w:themeColor="accent1" w:themeShade="BF"/>
    </w:rPr>
  </w:style>
  <w:style w:type="paragraph" w:styleId="Citationintense">
    <w:name w:val="Intense Quote"/>
    <w:basedOn w:val="Normal"/>
    <w:next w:val="Normal"/>
    <w:link w:val="CitationintenseCar"/>
    <w:uiPriority w:val="30"/>
    <w:qFormat/>
    <w:rsid w:val="00924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45FB"/>
    <w:rPr>
      <w:i/>
      <w:iCs/>
      <w:color w:val="0F4761" w:themeColor="accent1" w:themeShade="BF"/>
    </w:rPr>
  </w:style>
  <w:style w:type="character" w:styleId="Rfrenceintense">
    <w:name w:val="Intense Reference"/>
    <w:basedOn w:val="Policepardfaut"/>
    <w:uiPriority w:val="32"/>
    <w:qFormat/>
    <w:rsid w:val="009245FB"/>
    <w:rPr>
      <w:b/>
      <w:bCs/>
      <w:smallCaps/>
      <w:color w:val="0F4761" w:themeColor="accent1" w:themeShade="BF"/>
      <w:spacing w:val="5"/>
    </w:rPr>
  </w:style>
  <w:style w:type="paragraph" w:styleId="En-tte">
    <w:name w:val="header"/>
    <w:basedOn w:val="Normal"/>
    <w:link w:val="En-tteCar"/>
    <w:uiPriority w:val="99"/>
    <w:unhideWhenUsed/>
    <w:rsid w:val="002178AE"/>
    <w:pPr>
      <w:tabs>
        <w:tab w:val="center" w:pos="4536"/>
        <w:tab w:val="right" w:pos="9072"/>
      </w:tabs>
    </w:pPr>
  </w:style>
  <w:style w:type="character" w:customStyle="1" w:styleId="En-tteCar">
    <w:name w:val="En-tête Car"/>
    <w:basedOn w:val="Policepardfaut"/>
    <w:link w:val="En-tte"/>
    <w:uiPriority w:val="99"/>
    <w:rsid w:val="002178AE"/>
  </w:style>
  <w:style w:type="paragraph" w:styleId="Pieddepage">
    <w:name w:val="footer"/>
    <w:basedOn w:val="Normal"/>
    <w:link w:val="PieddepageCar"/>
    <w:uiPriority w:val="99"/>
    <w:unhideWhenUsed/>
    <w:rsid w:val="002178AE"/>
    <w:pPr>
      <w:tabs>
        <w:tab w:val="center" w:pos="4536"/>
        <w:tab w:val="right" w:pos="9072"/>
      </w:tabs>
    </w:pPr>
  </w:style>
  <w:style w:type="character" w:customStyle="1" w:styleId="PieddepageCar">
    <w:name w:val="Pied de page Car"/>
    <w:basedOn w:val="Policepardfaut"/>
    <w:link w:val="Pieddepage"/>
    <w:uiPriority w:val="99"/>
    <w:rsid w:val="0021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953</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Expertise</dc:creator>
  <cp:keywords/>
  <dc:description/>
  <cp:lastModifiedBy>Expertise</cp:lastModifiedBy>
  <cp:revision>1</cp:revision>
  <dcterms:created xsi:type="dcterms:W3CDTF">2025-12-15T07:13:00Z</dcterms:created>
  <dcterms:modified xsi:type="dcterms:W3CDTF">2025-12-15T08:38:00Z</dcterms:modified>
</cp:coreProperties>
</file>